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6A3A" w14:textId="77777777" w:rsidR="00CF3C9E" w:rsidRPr="00CF3C9E" w:rsidRDefault="00CF3C9E" w:rsidP="00CF3C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3C9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1710F66F" w14:textId="77777777" w:rsidR="00CF3C9E" w:rsidRPr="00CF3C9E" w:rsidRDefault="00CF3C9E" w:rsidP="00CF3C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3C9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ПРЕДШКОЛСКА УСТАНОВА „ЦВЕТИЋ“</w:t>
      </w:r>
    </w:p>
    <w:p w14:paraId="00CABF1E" w14:textId="77777777" w:rsidR="00CF3C9E" w:rsidRPr="00CF3C9E" w:rsidRDefault="00CF3C9E" w:rsidP="00CF3C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3C9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БРОЈ: 772/2023</w:t>
      </w:r>
    </w:p>
    <w:p w14:paraId="7D129D9D" w14:textId="77777777" w:rsidR="00CF3C9E" w:rsidRPr="00CF3C9E" w:rsidRDefault="00CF3C9E" w:rsidP="00CF3C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F3C9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ДАТУМ: 29. 12. 2023. године</w:t>
      </w:r>
    </w:p>
    <w:p w14:paraId="4E358752" w14:textId="77777777" w:rsidR="00CF3C9E" w:rsidRPr="00CF3C9E" w:rsidRDefault="00CF3C9E" w:rsidP="00CF3C9E">
      <w:pPr>
        <w:spacing w:after="0" w:line="240" w:lineRule="auto"/>
        <w:rPr>
          <w:rFonts w:ascii="Calibri" w:eastAsia="Calibri" w:hAnsi="Calibri" w:cs="Times New Roman"/>
        </w:rPr>
      </w:pPr>
      <w:r w:rsidRPr="00CF3C9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34240 КНИЋ</w:t>
      </w:r>
      <w:r w:rsidRPr="00CF3C9E">
        <w:rPr>
          <w:rFonts w:ascii="Calibri" w:eastAsia="Calibri" w:hAnsi="Calibri" w:cs="Times New Roman"/>
          <w:lang w:val="sr-Cyrl-RS"/>
        </w:rPr>
        <w:t xml:space="preserve"> </w:t>
      </w:r>
      <w:r w:rsidRPr="00CF3C9E">
        <w:rPr>
          <w:rFonts w:ascii="Calibri" w:eastAsia="Calibri" w:hAnsi="Calibri" w:cs="Times New Roman"/>
          <w:lang w:val="sr-Cyrl-RS"/>
        </w:rPr>
        <w:tab/>
      </w:r>
    </w:p>
    <w:p w14:paraId="769540C2" w14:textId="77777777" w:rsidR="00CF3C9E" w:rsidRPr="00CF3C9E" w:rsidRDefault="00CF3C9E" w:rsidP="00CF3C9E">
      <w:pPr>
        <w:tabs>
          <w:tab w:val="right" w:pos="9072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3C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14:paraId="56E248DD" w14:textId="77777777" w:rsidR="00CF3C9E" w:rsidRPr="00CF3C9E" w:rsidRDefault="00CF3C9E" w:rsidP="00CF3C9E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3C9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F3C9E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16. Закона о родној равноправности („Службени гласник РС бр.52/2021“) Управни одбор Предшколске установе „Цветић“ на седници одржаној дана 29. 12. 2023. године, донео је :</w:t>
      </w:r>
    </w:p>
    <w:p w14:paraId="42121FD3" w14:textId="77777777" w:rsidR="00CF3C9E" w:rsidRDefault="00CF3C9E" w:rsidP="00CF3C9E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</w:rPr>
      </w:pPr>
    </w:p>
    <w:p w14:paraId="4C5BBDD0" w14:textId="77777777" w:rsidR="00B87D56" w:rsidRPr="0029361D" w:rsidRDefault="00B87D56" w:rsidP="0029361D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</w:rPr>
      </w:pPr>
      <w:r w:rsidRPr="0029361D"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</w:rPr>
        <w:t xml:space="preserve">ПЛАН МЕРА ЗА ОСТВАРИВАЊЕ И УНАПРЕЂЕЊЕ </w:t>
      </w:r>
      <w:r w:rsidR="0029361D"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</w:rPr>
        <w:t xml:space="preserve">РОДНЕ РАВНОПРАВНОСТИ У </w:t>
      </w:r>
      <w:r w:rsidR="0029361D"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  <w:lang w:val="sr-Cyrl-RS"/>
        </w:rPr>
        <w:t>ПРЕДШКОЛСКОЈ УСТАНОВИ „</w:t>
      </w:r>
      <w:proofErr w:type="gramStart"/>
      <w:r w:rsidR="0029361D"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  <w:lang w:val="sr-Cyrl-RS"/>
        </w:rPr>
        <w:t>ЦВЕТИЋ“ У</w:t>
      </w:r>
      <w:proofErr w:type="gramEnd"/>
      <w:r w:rsidR="0029361D"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  <w:lang w:val="sr-Cyrl-RS"/>
        </w:rPr>
        <w:t xml:space="preserve"> </w:t>
      </w:r>
      <w:r w:rsidRPr="0029361D">
        <w:rPr>
          <w:rFonts w:ascii="Times New Roman" w:eastAsia="Times New Roman" w:hAnsi="Times New Roman" w:cs="Times New Roman"/>
          <w:b/>
          <w:caps/>
          <w:color w:val="484848"/>
          <w:spacing w:val="15"/>
          <w:sz w:val="32"/>
          <w:szCs w:val="32"/>
        </w:rPr>
        <w:t>2024. ГОДИНИ</w:t>
      </w:r>
    </w:p>
    <w:p w14:paraId="768DBE6F" w14:textId="77777777" w:rsidR="00CF3C9E" w:rsidRDefault="00CF3C9E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</w:p>
    <w:p w14:paraId="36CF9B6A" w14:textId="77777777" w:rsidR="00CF3C9E" w:rsidRDefault="00CF3C9E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</w:p>
    <w:p w14:paraId="558A0B59" w14:textId="77777777" w:rsidR="00CF3C9E" w:rsidRDefault="00B87D56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I ПРЕДМЕТ УРЕЂИВАЊА</w:t>
      </w:r>
    </w:p>
    <w:p w14:paraId="2BE22701" w14:textId="77777777" w:rsidR="00B87D56" w:rsidRPr="00095A29" w:rsidRDefault="00B87D56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1DFF2AC1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(у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даљем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тексту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финални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документ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успоставља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систем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</w:t>
      </w:r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сти</w:t>
      </w:r>
      <w:proofErr w:type="spellEnd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Предшколској</w:t>
      </w:r>
      <w:proofErr w:type="spellEnd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установи</w:t>
      </w:r>
      <w:proofErr w:type="spellEnd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,,</w:t>
      </w:r>
      <w:proofErr w:type="spellStart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Цветић</w:t>
      </w:r>
      <w:proofErr w:type="spellEnd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” (у </w:t>
      </w:r>
      <w:proofErr w:type="spellStart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даљем</w:t>
      </w:r>
      <w:proofErr w:type="spellEnd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тексту</w:t>
      </w:r>
      <w:proofErr w:type="spellEnd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="0029361D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крајњим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подзаконским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успостави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унапреди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утврде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извештавања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реализацији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институционални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оквир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надзор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применом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питања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значаја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6117FC56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7038615B" w14:textId="77777777" w:rsidR="00B87D56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1.1. ПРАВНИ ОКВИР</w:t>
      </w:r>
    </w:p>
    <w:p w14:paraId="3DFBD266" w14:textId="77777777" w:rsidR="00CF3C9E" w:rsidRPr="00095A29" w:rsidRDefault="00CF3C9E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00C3741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оквир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доношење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(„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Службени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гласник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РС“,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52/2021,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даљем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тексту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уређују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појам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значење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врсте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планских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аката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области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извештавања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реализацији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институционални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оквир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надзор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применом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питања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значаја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уређују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сузбијање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спречавање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породици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уређују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обавезе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власти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послодаваца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социјалних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партнера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интегришу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перспективу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области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6549527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48ECD32E" w14:textId="77777777" w:rsidR="00B87D56" w:rsidRPr="00095A29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lastRenderedPageBreak/>
        <w:t>1.2. ДЕФИНИЦИЈЕ</w:t>
      </w:r>
    </w:p>
    <w:p w14:paraId="406E6301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65D8E84A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означава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улоге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понашања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атрибуте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одређено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сматра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прикладним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укључујући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међусобне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улоге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зависности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D54514C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жртве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због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порекла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националне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припадности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имовног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идентитета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оријентације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старости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психичког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и/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физичког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инвалидитета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неразвијеном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подручју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разлога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својства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налазе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неједнаком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6BFB876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представља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биолошку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карактеристику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људи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74145743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4)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подразумевају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слобода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третман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учешће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политичкој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економској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културној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областима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фазама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планирања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припреме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доношења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одлука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коришћење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резултата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без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ограничења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B64A1B8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5)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више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личних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својстава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без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обзира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утицај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појединих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личних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својстава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разграничити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(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вишеструка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разграничити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(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интерсексијска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); </w:t>
      </w:r>
    </w:p>
    <w:p w14:paraId="6E9CFDC3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6)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перспектива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узимање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обзир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различитих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интереса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потреба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приоритета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фазе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планирања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припреме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доношење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прописа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17C00D9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7)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анализа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представља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процењивање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утицаја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последица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планиране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укључујући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законодавство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областима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нивоима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DD61520" w14:textId="77777777" w:rsidR="00B87D56" w:rsidRPr="00095A29" w:rsidRDefault="00CF6C19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8)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уродњавање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представља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средство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кроз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укључивање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перспективе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планове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праксе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8F53A1A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9)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уравнотежена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између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40-50%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а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неуравнотежена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нижа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40%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произлази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другачије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2C2CA3E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10)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облик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физичког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психичког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економског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социјалног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врши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због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припадности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одређеном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претње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таквим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без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обзира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дешавају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приватном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облик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већој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погађа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припадају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15D57B5A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означава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кршење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људских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облик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доводе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доведу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физичке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психичке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финансијске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повреде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патње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обухватајући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претње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таквим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принуду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произвољно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лишавање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слободе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било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било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приватном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9E9E278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12)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узнемиравање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јесте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нежељено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понашање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последицу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повреду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достојанства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а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нарочито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тиме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ствара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страх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непријатељско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застрашујуће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понижавајуће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увредљиво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окружење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CA1E6F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подстицање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упутстава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предузимања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дискриминаторних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поступака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сличан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A26759C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14)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узнемиравање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јесте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нежељени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вербални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невербални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физички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природе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последицу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повреду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личног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достојанства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а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нарочито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тиме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ствара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страх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непријатељско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застрашујуће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понижавајуће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увредљиво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окружење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07AC06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15)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уцењивање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понашање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намери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чињења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нечињења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природе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уцени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случају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одбијања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пружања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траженог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против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њега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њему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блиског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изнети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нешто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што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шкодити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њеној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његовој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части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угледу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03339DB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16)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јесте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промовише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средство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утиче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свест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служе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правцу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укључујући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мишљења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ставова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понашања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оквиру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служе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личном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професионалном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083F60A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17)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власти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државни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аутономне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покрајине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јединице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локалне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самоуправе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предузећа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агенције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организације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поверена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поједина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овлашћења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оснива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финансира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целини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претежном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Република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Србија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аутономна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покрајина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јединица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локалне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самоуправе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026A9A58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18)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социјални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партнери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Влада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надлежни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јединице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локалне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самоуправе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репрезентативни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синдикати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репрезентативна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удружења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послодаваца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послодавци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изузев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субјеката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јављају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социјални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партнери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произвођачи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продавци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пружаоци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услуга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предузећа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службе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EAFC8A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19)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представља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новчану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надокнаду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извршен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неотуђиво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подразумева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надокнаду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вредности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примену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начела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поступања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без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обзира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8B0BE34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20)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стереотипи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традицијом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формиране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укорењене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идеје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мушкарцима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произвољно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додељене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карактеристике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улоге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ограничавају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F7DA915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повремена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јединице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локалне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самоуправе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предвиђених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документима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52CC5C73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05038F1B" w14:textId="77777777" w:rsidR="00B87D56" w:rsidRPr="00095A29" w:rsidRDefault="00CF6C19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1.3.ОБАВЕЗЕ УСТАНОВЕ</w:t>
      </w:r>
      <w:r w:rsidR="00B87D56"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У СПРОВОЂЕЊУ ОПШТИХ И ПОСЕБНИХ МЕРА ЗА ОСТВАРИВАЊЕ И УНАПРЕЂИВАЊЕ РОДНЕ РАВНОПРАВНОСТИ</w:t>
      </w:r>
    </w:p>
    <w:p w14:paraId="7495C4CA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30AB6C40" w14:textId="77777777" w:rsidR="00B87D56" w:rsidRPr="00095A29" w:rsidRDefault="00CF6C19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дужна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3B64984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приликом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доношења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</w:t>
      </w:r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анова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а васпитно образовног рада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приликом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утврђивања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метода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норматива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</w:t>
      </w:r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ростора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опреме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васпитно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материјале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искључи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стереотипне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сексистичке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везане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превазилажења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стереотипа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предрасуда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неговања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узајамног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поштовања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ненасилног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разрешења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сукоба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међуљудским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спречавања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сузбијања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поштовања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лични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интегритет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прилагођен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узрасту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деце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1D3200FB" w14:textId="77777777" w:rsidR="00B87D56" w:rsidRPr="00095A29" w:rsidRDefault="00CF6C19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обезбеди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подршку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образовним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ограмима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финансирају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средстава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доприноса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промовисању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превазилажења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стереотипа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225C7155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обезбеди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планова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програма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васпитно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образовног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свезака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другог</w:t>
      </w:r>
      <w:proofErr w:type="spellEnd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6C19">
        <w:rPr>
          <w:rFonts w:ascii="Times New Roman" w:eastAsia="Times New Roman" w:hAnsi="Times New Roman" w:cs="Times New Roman"/>
          <w:color w:val="484848"/>
          <w:sz w:val="24"/>
          <w:szCs w:val="24"/>
        </w:rPr>
        <w:t>дидактичког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материјала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буду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такви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афирмишу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повећају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видљивост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допринос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науци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технолошком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развоју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култури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уметности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одбрани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безбедности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F747CAE" w14:textId="77777777" w:rsidR="00B87D56" w:rsidRPr="00095A29" w:rsidRDefault="00CF3C9E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предузима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З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аконом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обухватају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42DFFEE5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(1)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интегрисање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</w:t>
      </w:r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сти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планове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програме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укључујући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препознавање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охрабривање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пријаву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оквиру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26426F4F" w14:textId="77777777" w:rsidR="00B87D56" w:rsidRPr="00095A29" w:rsidRDefault="00CF3C9E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редовних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 </w:t>
      </w:r>
    </w:p>
    <w:p w14:paraId="5DB4F48D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планирања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организације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различитих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обуке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 </w:t>
      </w:r>
    </w:p>
    <w:p w14:paraId="0216B0AD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 xml:space="preserve">(2)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измене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</w:t>
      </w:r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анова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програма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васпитно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образовног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средстава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рад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другог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дидактичког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материјала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афирмишу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повећавају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видљивост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доприноса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науци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технолошком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развоју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култури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уметности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B847C18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(3)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коришћење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граматичким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родом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радним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свескама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дидактичком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материјалу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</w:t>
      </w:r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о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у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општим и посебним актима које доноси Установа</w:t>
      </w:r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актима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потврдама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класификацијама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звањима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занимањима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лиценцама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облицима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образовноваспитног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649974BE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(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4)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процењивање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садржаја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листова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другог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дидактичког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материјала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аспекта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утицаја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промоцију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6E208D9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(5)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континуирано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стручно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усавршавање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додатне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обуке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стручно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оспособљавање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приправника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подстицање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препознавање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заштиту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оријентације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карактеристика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инвалидитета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националне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припадности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етничког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порекала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личних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својстава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повећање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наставног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наставног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материјала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људских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заштите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особа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инвалидитетом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вршњачког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насиља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девојчицама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71E3C6C5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(6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предузимање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активног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укључивања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систем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образовања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васпитања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због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свог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карактеристика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стереотипа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брачног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стања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традиције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друштвено-економских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услова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повећаном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ризику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напуштања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образовања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A4D5E5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1529034E" w14:textId="77777777" w:rsidR="00B87D56" w:rsidRPr="00095A29" w:rsidRDefault="00B87D56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II САДРЖАЈ ПЛАНА </w:t>
      </w:r>
    </w:p>
    <w:p w14:paraId="617076B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32863659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61DFCA33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основне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податке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-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назив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седиште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порески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идентификациони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датум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решења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упису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Регистар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Привредног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суда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чни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шифру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делатности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 </w:t>
      </w:r>
    </w:p>
    <w:p w14:paraId="615CE68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укупан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 </w:t>
      </w:r>
    </w:p>
    <w:p w14:paraId="4403FD3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укупан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руководећих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извршилачких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 </w:t>
      </w:r>
    </w:p>
    <w:p w14:paraId="681607B6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процедуре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, </w:t>
      </w:r>
    </w:p>
    <w:p w14:paraId="3032BE1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садржај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достављања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годишњег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извештаја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25B249B3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 </w:t>
      </w:r>
    </w:p>
    <w:p w14:paraId="43C2225B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кратку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оцену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вези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укључујући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старости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списак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разлоге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циљеве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постижу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почетак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примене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начин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контроле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престанак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09ACDE18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47D0FAD0" w14:textId="77777777" w:rsidR="00B87D56" w:rsidRPr="00095A29" w:rsidRDefault="009A7C52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2.1. ОСНОВНИ ПОДАЦИ О УСТАНОВИ</w:t>
      </w:r>
    </w:p>
    <w:p w14:paraId="3732CAF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32A1318F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Назив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Предшколска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proofErr w:type="gram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установа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,,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Цветић</w:t>
      </w:r>
      <w:proofErr w:type="spellEnd"/>
      <w:proofErr w:type="gram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”</w:t>
      </w:r>
    </w:p>
    <w:p w14:paraId="6CF70DE4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Седиште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Кнић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34240.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Мајданска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14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5CDCE6F4" w14:textId="77777777" w:rsidR="00C8775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– ПИБ: 101611422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14:paraId="2194F3B0" w14:textId="77777777" w:rsidR="00C87759" w:rsidRDefault="00B87D56" w:rsidP="00C87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датум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решења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упису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Фи</w:t>
      </w:r>
      <w:proofErr w:type="spell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33/13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1</w:t>
      </w:r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1. 03. 2013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године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Привредни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суд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</w:t>
      </w:r>
    </w:p>
    <w:p w14:paraId="6A5560A1" w14:textId="77777777" w:rsidR="00B87D56" w:rsidRDefault="009A7C52" w:rsidP="00C87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Крагујевцу</w:t>
      </w:r>
      <w:proofErr w:type="spellEnd"/>
    </w:p>
    <w:p w14:paraId="6868FB72" w14:textId="77777777" w:rsidR="00C87759" w:rsidRPr="00095A29" w:rsidRDefault="00C87759" w:rsidP="00C87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1E832107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Матични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: 07410816</w:t>
      </w:r>
    </w:p>
    <w:p w14:paraId="2796D080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Шифра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делатности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88.91-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Предшколско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васпитање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образовање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5FC998DD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53FA325F" w14:textId="77777777" w:rsidR="00B87D56" w:rsidRPr="00095A29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2.2. УКУПАН БРОЈ И ПРОЦЕНАТ ЗАПОСЛЕНИХ ПО ПОЛНОЈ СТРУКТУРИ</w:t>
      </w:r>
    </w:p>
    <w:p w14:paraId="406B496B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6EEC5EB7" w14:textId="77777777" w:rsidR="00B87D56" w:rsidRPr="00C87759" w:rsidRDefault="00C87759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У </w:t>
      </w:r>
      <w:r w:rsidR="009A7C52">
        <w:rPr>
          <w:rFonts w:ascii="Times New Roman" w:eastAsia="Times New Roman" w:hAnsi="Times New Roman" w:cs="Times New Roman"/>
          <w:color w:val="484848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запослено је: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14:paraId="7CFA924E" w14:textId="77777777" w:rsidR="00B87D56" w:rsidRPr="00C8775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2024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укупан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и радно ангажованих лица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</w:t>
      </w:r>
      <w:proofErr w:type="gram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износи 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40</w:t>
      </w:r>
      <w:proofErr w:type="gram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- 100%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, од тога:</w:t>
      </w:r>
    </w:p>
    <w:p w14:paraId="33CBB60B" w14:textId="77777777" w:rsidR="009A7C52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proofErr w:type="gram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мушкарци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  <w:r w:rsidR="009A7C52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-</w:t>
      </w:r>
      <w:proofErr w:type="gramEnd"/>
      <w:r w:rsidR="009A7C52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1 - 2,5%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14:paraId="291399A4" w14:textId="77777777" w:rsidR="00B87D56" w:rsidRPr="009A7C52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  <w:r w:rsidR="009A7C52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– 39 - 97,5%</w:t>
      </w:r>
    </w:p>
    <w:p w14:paraId="6FF9F3A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63054E05" w14:textId="77777777" w:rsidR="00B87D56" w:rsidRPr="00095A29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2.3. УКУПАН БРОЈ И ПРОЦЕНАТ РУКОВОДЕЋИХ И ИЗВРШИЛАЧКИХ РАДНИХ МЕСТА ПО ПОЛНОЈ СТРУКТУРИ</w:t>
      </w:r>
    </w:p>
    <w:p w14:paraId="5D8EF58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506D079D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2024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година</w:t>
      </w:r>
      <w:proofErr w:type="spellEnd"/>
    </w:p>
    <w:p w14:paraId="01CA0342" w14:textId="77777777" w:rsidR="00B87D56" w:rsidRPr="00095A29" w:rsidRDefault="009A7C52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2024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година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–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укупан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40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- 100%</w:t>
      </w:r>
    </w:p>
    <w:p w14:paraId="3DEB99B3" w14:textId="77777777" w:rsidR="00B87D56" w:rsidRPr="00095A29" w:rsidRDefault="00C8775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Р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уководећа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14:paraId="12742DA4" w14:textId="77777777" w:rsidR="00B87D56" w:rsidRPr="00095A29" w:rsidRDefault="00B87D56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1-100%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                                       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             </w:t>
      </w:r>
    </w:p>
    <w:p w14:paraId="0E07AD3F" w14:textId="77777777" w:rsidR="00777829" w:rsidRDefault="00C8775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М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</w:rPr>
        <w:t>ушкарци</w:t>
      </w:r>
      <w:proofErr w:type="spellEnd"/>
      <w:r w:rsidR="007778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-</w:t>
      </w:r>
      <w:proofErr w:type="gramEnd"/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 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0- 0%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</w:p>
    <w:p w14:paraId="578DF3FF" w14:textId="77777777" w:rsidR="00B87D56" w:rsidRDefault="00C8775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Ж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ене 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1- 100%</w:t>
      </w:r>
      <w:r w:rsidR="0077782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</w:t>
      </w:r>
    </w:p>
    <w:p w14:paraId="7BD65A9F" w14:textId="77777777" w:rsidR="00C87759" w:rsidRPr="00095A29" w:rsidRDefault="00C8775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695F6F8F" w14:textId="77777777" w:rsidR="00B87D56" w:rsidRPr="00C87759" w:rsidRDefault="00C8775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И</w:t>
      </w:r>
      <w:r w:rsidR="00777829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звршилачка</w:t>
      </w:r>
      <w:proofErr w:type="spellEnd"/>
      <w:r w:rsidR="00777829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77829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радна</w:t>
      </w:r>
      <w:proofErr w:type="spellEnd"/>
      <w:r w:rsidR="00777829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77829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:</w:t>
      </w:r>
    </w:p>
    <w:p w14:paraId="0D47AD13" w14:textId="77777777" w:rsidR="00777829" w:rsidRDefault="0077782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39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- 100%</w:t>
      </w:r>
    </w:p>
    <w:p w14:paraId="11C76981" w14:textId="77777777" w:rsidR="00777829" w:rsidRDefault="0077782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Мушкарци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– 1 – 2,5%</w:t>
      </w:r>
    </w:p>
    <w:p w14:paraId="2A2724CD" w14:textId="77777777" w:rsidR="00777829" w:rsidRPr="00095A29" w:rsidRDefault="00777829" w:rsidP="00C87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 xml:space="preserve"> – 38 – 97,5%</w:t>
      </w: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3ABB8305" w14:textId="77777777" w:rsidR="00777829" w:rsidRPr="00095A29" w:rsidRDefault="00777829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469E39A6" w14:textId="77777777" w:rsidR="00B87D56" w:rsidRPr="00095A29" w:rsidRDefault="00B87D56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III МЕРЕ И ПРОЦЕДУРЕ ЗА ОСТВАРИВАЊЕ И УНАПРЕЂЕЊЕ РОДНЕ РАВНОПРАВНОСТИ </w:t>
      </w:r>
    </w:p>
    <w:p w14:paraId="3F165F2F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584E6BA9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подразумевају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стварање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учешће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третман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области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запошљавања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самозапошљавања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социјалне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здравствене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заштите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образовања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васпитања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науке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технолошког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развоја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информационо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-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комуникационих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технологија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информационог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одбране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безбедности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саобраћаја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енергетике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заштите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средине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културе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информисања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спорта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органима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управљања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надзора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телима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политичког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деловања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сексуалног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репродуктивног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здравља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приступа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роби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услугама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53850736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31729422" w14:textId="77777777" w:rsidR="00B87D56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3.1.ОПШТЕ МЕРЕ</w:t>
      </w:r>
    </w:p>
    <w:p w14:paraId="13A9BD50" w14:textId="77777777" w:rsidR="00CF3C9E" w:rsidRPr="00095A29" w:rsidRDefault="00CF3C9E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71D05B2F" w14:textId="77777777" w:rsidR="00B87D56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прописане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забрањује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дискриминација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налаже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одговарајуће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поступање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обухватају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утврђене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(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декларације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резолуције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стратегије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чији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614711F5" w14:textId="77777777" w:rsidR="00C87759" w:rsidRPr="00095A29" w:rsidRDefault="00C87759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7E88D5D1" w14:textId="77777777" w:rsidR="00B87D56" w:rsidRDefault="00B87D56" w:rsidP="00C87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3.2.ПОСЕБНЕ МЕРЕ</w:t>
      </w:r>
    </w:p>
    <w:p w14:paraId="627FAFC1" w14:textId="77777777" w:rsidR="00C87759" w:rsidRPr="00095A29" w:rsidRDefault="00C87759" w:rsidP="00C87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578670A1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(у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даљем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тексту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: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критеријуми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праксе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начелом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обезбеђује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учешће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припадника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сферама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живота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слобода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5B9BB17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прописаним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коном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одређује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спроводи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7EF33DE6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Приликом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одређивања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морају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уважавати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различити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интереси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потребе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приоритети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а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обезбедити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549A987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девојчица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информисаност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доступност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услугама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9D6F281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примена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уродњавања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одговорног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буџетирања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поступку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планирања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управљања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пројеката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6221554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промовисање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управљању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људским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ресурсима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тржишту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749928E1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4)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уравнотежена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</w:t>
      </w:r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ва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управном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одбору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радним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телима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образ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  <w:lang w:val="sr-Cyrl-RS"/>
        </w:rPr>
        <w:t>у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ју</w:t>
      </w:r>
      <w:proofErr w:type="spellEnd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C87759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2C2392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5)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уравнотежена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свакој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фази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формулисања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60163DFD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6)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употреба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сензитивног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језика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како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утицало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уклањање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стереотипа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обавеза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0550A0C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7)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прикупљање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релевантних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података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разврстаних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њихово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достављање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надлежним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институцијама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 </w:t>
      </w:r>
    </w:p>
    <w:p w14:paraId="696F40DA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примењују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док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постигне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због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прописане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6C17EADF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6C9A5AA1" w14:textId="77777777" w:rsidR="00B87D56" w:rsidRPr="00095A29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3.3.ВРСТЕ ПОСЕБНИХ МЕРА</w:t>
      </w:r>
    </w:p>
    <w:p w14:paraId="7893C8CC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588B331E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Врсте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6F34ED39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одређују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случајевима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неуравнотежене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C7D900D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подстицајне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погодности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уводе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подстицаји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циљу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обезбеђивања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</w:t>
      </w:r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арце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свим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областима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рада</w:t>
      </w:r>
      <w:proofErr w:type="spellEnd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054DE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580C35BD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програмске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операционализују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програми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унапређење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6776668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 </w:t>
      </w:r>
    </w:p>
    <w:p w14:paraId="44484533" w14:textId="77777777" w:rsidR="00B87D56" w:rsidRPr="00095A29" w:rsidRDefault="00B87D56" w:rsidP="00CF3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3.4.</w:t>
      </w:r>
      <w:r w:rsidR="00FB29D1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val="sr-Cyrl-RS"/>
        </w:rPr>
        <w:t xml:space="preserve"> </w:t>
      </w: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ПОЛИТИКА ЈЕДНАКИХ МОГУЋНОСТИ</w:t>
      </w:r>
    </w:p>
    <w:p w14:paraId="23938E8B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6ED03C3E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подразумева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45A3F6E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1)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равноправно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учешће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свим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фазама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планирања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припреме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доношења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спровођења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одлука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утичу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3E43065B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2)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узимање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обзир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различитих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интереса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потреба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приоритета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жена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мушкараца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приликом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доношења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јавних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других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политика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одлучивања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обавезама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заснованим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интересима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2C57AB20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3)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предузимање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обезбеђује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полазна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тачка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остваривање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принципа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једнаких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могућности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лица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налазе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неједнаком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положају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основу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карактеристика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односно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посебно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припадника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осетљивих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друштвених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група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 </w:t>
      </w:r>
    </w:p>
    <w:p w14:paraId="3A4CAAD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ни</w:t>
      </w:r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ти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било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општим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актом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могу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буду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прописана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истоветна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различитом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платом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исплаћује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пуно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време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2A42C722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ни</w:t>
      </w:r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ти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било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општим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актом</w:t>
      </w:r>
      <w:proofErr w:type="spellEnd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DF1E15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може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буде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прописана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оправдана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потреба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прављења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5EDE32B3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0D4BE495" w14:textId="77777777" w:rsidR="00B87D56" w:rsidRPr="00095A29" w:rsidRDefault="00B87D56" w:rsidP="0009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IV САДРЖАЈ И НАЧИН ДОСТАВЉАЊА ГОДИШЊЕГ ИЗВЕШТАЈА О СПРОВОЂЕЊУ ПЛАНА </w:t>
      </w:r>
    </w:p>
    <w:p w14:paraId="338CDCA8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p w14:paraId="3DF9D92C" w14:textId="77777777" w:rsidR="00B87D56" w:rsidRPr="00095A29" w:rsidRDefault="00CF3C9E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одговорна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реализацију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утврђених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Планом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350D330B" w14:textId="77777777" w:rsidR="00B87D56" w:rsidRPr="00095A29" w:rsidRDefault="00CF3C9E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15</w:t>
      </w:r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.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јануара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текуће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претходну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годину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доставља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Извештај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реализованим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активностима</w:t>
      </w:r>
      <w:proofErr w:type="spellEnd"/>
      <w:r w:rsidR="00B87D56"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566C007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Извештај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садржи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следеће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: </w:t>
      </w:r>
    </w:p>
    <w:p w14:paraId="085ABC69" w14:textId="77777777" w:rsidR="00B87D56" w:rsidRPr="00095A29" w:rsidRDefault="00B87D56" w:rsidP="0009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процедуре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спроведене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мере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предузете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током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извештајног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периода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отклањања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ублажавања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неравномерне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заступљености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полова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1BFAC032" w14:textId="77777777" w:rsidR="00B87D56" w:rsidRPr="00095A29" w:rsidRDefault="00B87D56" w:rsidP="0009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претходној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календарској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години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7DABEC8B" w14:textId="77777777" w:rsidR="00B87D56" w:rsidRPr="00095A29" w:rsidRDefault="00B87D56" w:rsidP="0009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руководећих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извршилачких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479E7B0B" w14:textId="77777777" w:rsidR="00B87D56" w:rsidRPr="00095A29" w:rsidRDefault="00B87D56" w:rsidP="0009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lastRenderedPageBreak/>
        <w:t>податке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истоветних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различитом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нето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платом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исплаћује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пуно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време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25E33A3A" w14:textId="77777777" w:rsidR="00B87D56" w:rsidRPr="00095A29" w:rsidRDefault="00B87D56" w:rsidP="0009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укупном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упућених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стручно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усавршавање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или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обуку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структури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запослених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; </w:t>
      </w:r>
    </w:p>
    <w:p w14:paraId="193D85C2" w14:textId="77777777" w:rsidR="00B87D56" w:rsidRPr="00095A29" w:rsidRDefault="00B87D56" w:rsidP="00095A2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податке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о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променама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броју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радних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места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према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општем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акту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постоји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оправдана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потреба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прављења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разлика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полу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складу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законом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којим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уређује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рад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</w:t>
      </w:r>
    </w:p>
    <w:p w14:paraId="68413047" w14:textId="77777777" w:rsidR="00B87D56" w:rsidRPr="00095A29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4"/>
        <w:gridCol w:w="5489"/>
      </w:tblGrid>
      <w:tr w:rsidR="009E07E0" w:rsidRPr="00095A29" w14:paraId="3BE5857F" w14:textId="77777777" w:rsidTr="0053030C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5F49A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запослених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40</w:t>
            </w:r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- 100%</w:t>
            </w:r>
          </w:p>
        </w:tc>
      </w:tr>
      <w:tr w:rsidR="009E07E0" w:rsidRPr="00095A29" w14:paraId="5355BB59" w14:textId="77777777" w:rsidTr="0053030C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14:paraId="6F3F32E6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  <w:t>мушкарци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14:paraId="6690929F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  <w:t>жене</w:t>
            </w:r>
          </w:p>
        </w:tc>
      </w:tr>
      <w:tr w:rsidR="009E07E0" w:rsidRPr="00095A29" w14:paraId="1F1FCBC0" w14:textId="77777777" w:rsidTr="0053030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1A27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1- 2,5</w:t>
            </w: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1553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- 86.89%</w:t>
            </w:r>
          </w:p>
        </w:tc>
      </w:tr>
    </w:tbl>
    <w:p w14:paraId="21D839E0" w14:textId="77777777" w:rsidR="009E07E0" w:rsidRPr="00095A29" w:rsidRDefault="009E07E0" w:rsidP="009E0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095A2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2.3. УКУПАН БРОЈ И ПРОЦЕНАТ РУКОВОДЕЋИХ И ИЗВРШИЛАЧКИХ РАДНИХ МЕСТА ПО ПОЛНОЈ СТРУКТУРИ</w:t>
      </w:r>
    </w:p>
    <w:tbl>
      <w:tblPr>
        <w:tblW w:w="122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2685"/>
        <w:gridCol w:w="2240"/>
        <w:gridCol w:w="4053"/>
      </w:tblGrid>
      <w:tr w:rsidR="009E07E0" w:rsidRPr="00095A29" w14:paraId="196E9E03" w14:textId="77777777" w:rsidTr="0053030C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117E5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2023. </w:t>
            </w:r>
            <w:proofErr w:type="spellStart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година</w:t>
            </w:r>
            <w:proofErr w:type="spellEnd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</w:t>
            </w:r>
            <w:proofErr w:type="spellEnd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запослених</w:t>
            </w:r>
            <w:proofErr w:type="spellEnd"/>
            <w:r w:rsidRPr="0009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61- 100%</w:t>
            </w:r>
          </w:p>
        </w:tc>
      </w:tr>
      <w:tr w:rsidR="009E07E0" w:rsidRPr="00095A29" w14:paraId="144EC489" w14:textId="77777777" w:rsidTr="0053030C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14:paraId="43B08945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  <w:t>руководећа радна места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120" w:type="dxa"/>
              <w:bottom w:w="210" w:type="dxa"/>
              <w:right w:w="120" w:type="dxa"/>
            </w:tcMar>
            <w:hideMark/>
          </w:tcPr>
          <w:p w14:paraId="668EEE09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caps/>
                <w:color w:val="349F37"/>
                <w:sz w:val="24"/>
                <w:szCs w:val="24"/>
              </w:rPr>
              <w:t>извршилачка радна места</w:t>
            </w:r>
          </w:p>
        </w:tc>
      </w:tr>
      <w:tr w:rsidR="009E07E0" w:rsidRPr="00095A29" w14:paraId="1903135D" w14:textId="77777777" w:rsidTr="0053030C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7983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1-100%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63D7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- 100%</w:t>
            </w:r>
          </w:p>
        </w:tc>
      </w:tr>
      <w:tr w:rsidR="009E07E0" w:rsidRPr="00095A29" w14:paraId="15C228EA" w14:textId="77777777" w:rsidTr="0053030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A8B9D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0- 0%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BBAE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1- 100%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F0483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1- 2,5</w:t>
            </w: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CEAA3" w14:textId="77777777" w:rsidR="009E07E0" w:rsidRPr="00095A29" w:rsidRDefault="009E07E0" w:rsidP="0053030C">
            <w:pPr>
              <w:spacing w:after="0" w:line="240" w:lineRule="auto"/>
              <w:ind w:right="1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38- 97,5</w:t>
            </w:r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07E0" w:rsidRPr="00095A29" w14:paraId="1205C01B" w14:textId="77777777" w:rsidTr="0053030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473D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мушкарци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1CBC5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жене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31E3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мушкарци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DABD3" w14:textId="77777777" w:rsidR="009E07E0" w:rsidRPr="00095A29" w:rsidRDefault="009E07E0" w:rsidP="0053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29">
              <w:rPr>
                <w:rFonts w:ascii="Times New Roman" w:eastAsia="Times New Roman" w:hAnsi="Times New Roman" w:cs="Times New Roman"/>
                <w:sz w:val="24"/>
                <w:szCs w:val="24"/>
              </w:rPr>
              <w:t>жене</w:t>
            </w:r>
            <w:proofErr w:type="spellEnd"/>
          </w:p>
        </w:tc>
      </w:tr>
    </w:tbl>
    <w:p w14:paraId="01A7886E" w14:textId="77777777" w:rsidR="009E07E0" w:rsidRDefault="009E07E0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1329956B" w14:textId="77777777" w:rsidR="00B87D56" w:rsidRDefault="00B87D56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План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и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изве</w:t>
      </w:r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>штај</w:t>
      </w:r>
      <w:proofErr w:type="spellEnd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>се</w:t>
      </w:r>
      <w:proofErr w:type="spellEnd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>објављују</w:t>
      </w:r>
      <w:proofErr w:type="spellEnd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>на</w:t>
      </w:r>
      <w:proofErr w:type="spellEnd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>сајту</w:t>
      </w:r>
      <w:proofErr w:type="spellEnd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Установе</w:t>
      </w:r>
      <w:proofErr w:type="spellEnd"/>
      <w:r w:rsidR="00012A7C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hyperlink r:id="rId5" w:history="1">
        <w:r w:rsidR="00012A7C" w:rsidRPr="00133E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</w:t>
        </w:r>
        <w:r w:rsidR="00012A7C" w:rsidRPr="00133EE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vrticknic</w:t>
        </w:r>
        <w:r w:rsidR="00012A7C" w:rsidRPr="00133E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012A7C" w:rsidRPr="00133EE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</w:t>
        </w:r>
        <w:proofErr w:type="spellEnd"/>
      </w:hyperlink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, а у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штампаној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форми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чува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с</w:t>
      </w:r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е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у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архиви</w:t>
      </w:r>
      <w:proofErr w:type="spellEnd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CF3C9E">
        <w:rPr>
          <w:rFonts w:ascii="Times New Roman" w:eastAsia="Times New Roman" w:hAnsi="Times New Roman" w:cs="Times New Roman"/>
          <w:color w:val="484848"/>
          <w:sz w:val="24"/>
          <w:szCs w:val="24"/>
        </w:rPr>
        <w:t>Установе</w:t>
      </w:r>
      <w:proofErr w:type="spellEnd"/>
      <w:r w:rsidRPr="00095A29">
        <w:rPr>
          <w:rFonts w:ascii="Times New Roman" w:eastAsia="Times New Roman" w:hAnsi="Times New Roman" w:cs="Times New Roman"/>
          <w:color w:val="484848"/>
          <w:sz w:val="24"/>
          <w:szCs w:val="24"/>
        </w:rPr>
        <w:t>.  </w:t>
      </w:r>
    </w:p>
    <w:p w14:paraId="3D55D8DA" w14:textId="77777777" w:rsidR="00DF1E15" w:rsidRDefault="00DF1E15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216D0444" w14:textId="77777777" w:rsidR="00DF1E15" w:rsidRPr="00095A29" w:rsidRDefault="00DF1E15" w:rsidP="00095A2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6E49776C" w14:textId="77777777" w:rsidR="00012A7C" w:rsidRPr="00CF3C9E" w:rsidRDefault="00012A7C" w:rsidP="00CF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</w:pPr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  <w:lang w:val="sr-Cyrl-RS"/>
        </w:rPr>
        <w:t xml:space="preserve">                                                                               </w:t>
      </w:r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  <w:lang w:val="sr-Latn-RS"/>
        </w:rPr>
        <w:t xml:space="preserve">                </w:t>
      </w:r>
      <w:proofErr w:type="spellStart"/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Председница</w:t>
      </w:r>
      <w:proofErr w:type="spellEnd"/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 xml:space="preserve"> </w:t>
      </w:r>
      <w:proofErr w:type="spellStart"/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Управног</w:t>
      </w:r>
      <w:proofErr w:type="spellEnd"/>
      <w:r w:rsidR="00B87D56"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 xml:space="preserve"> </w:t>
      </w:r>
      <w:proofErr w:type="spellStart"/>
      <w:r w:rsidR="00B87D56"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одбора</w:t>
      </w:r>
      <w:proofErr w:type="spellEnd"/>
    </w:p>
    <w:p w14:paraId="13775875" w14:textId="77777777" w:rsidR="00B87D56" w:rsidRPr="00CF3C9E" w:rsidRDefault="00012A7C" w:rsidP="00CF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</w:pPr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  <w:lang w:val="sr-Cyrl-RS"/>
        </w:rPr>
        <w:t xml:space="preserve">                                                                               </w:t>
      </w:r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  <w:lang w:val="sr-Latn-RS"/>
        </w:rPr>
        <w:t xml:space="preserve">                  </w:t>
      </w:r>
      <w:r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  <w:lang w:val="sr-Cyrl-RS"/>
        </w:rPr>
        <w:t>Данијела Пајовић Мишовић</w:t>
      </w:r>
      <w:r w:rsidR="00B87D56" w:rsidRPr="00CF3C9E">
        <w:rPr>
          <w:rFonts w:ascii="Times New Roman" w:eastAsia="Times New Roman" w:hAnsi="Times New Roman" w:cs="Times New Roman"/>
          <w:b/>
          <w:color w:val="484848"/>
          <w:sz w:val="24"/>
          <w:szCs w:val="24"/>
        </w:rPr>
        <w:t> </w:t>
      </w:r>
    </w:p>
    <w:p w14:paraId="64893B78" w14:textId="77777777" w:rsidR="00012A7C" w:rsidRPr="00095A29" w:rsidRDefault="00012A7C" w:rsidP="00012A7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sectPr w:rsidR="00012A7C" w:rsidRPr="00095A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6A5B"/>
    <w:multiLevelType w:val="multilevel"/>
    <w:tmpl w:val="ED6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3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56"/>
    <w:rsid w:val="00012A7C"/>
    <w:rsid w:val="00095A29"/>
    <w:rsid w:val="0029361D"/>
    <w:rsid w:val="00701A2F"/>
    <w:rsid w:val="007054DE"/>
    <w:rsid w:val="00777829"/>
    <w:rsid w:val="009A7C52"/>
    <w:rsid w:val="009E07E0"/>
    <w:rsid w:val="00B87D56"/>
    <w:rsid w:val="00B93CC6"/>
    <w:rsid w:val="00C87759"/>
    <w:rsid w:val="00CC4A98"/>
    <w:rsid w:val="00CF3C55"/>
    <w:rsid w:val="00CF3C9E"/>
    <w:rsid w:val="00CF6C19"/>
    <w:rsid w:val="00DF1E15"/>
    <w:rsid w:val="00FA75C5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7ABDA"/>
  <w15:docId w15:val="{1D790A10-777B-4657-A59F-194E301C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254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kni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Predskolska Ustanova</dc:creator>
  <cp:lastModifiedBy>Korisnik</cp:lastModifiedBy>
  <cp:revision>2</cp:revision>
  <dcterms:created xsi:type="dcterms:W3CDTF">2024-01-15T12:31:00Z</dcterms:created>
  <dcterms:modified xsi:type="dcterms:W3CDTF">2024-01-15T12:31:00Z</dcterms:modified>
</cp:coreProperties>
</file>